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5"/>
        <w:gridCol w:w="1998"/>
        <w:gridCol w:w="1436"/>
        <w:gridCol w:w="3371"/>
        <w:gridCol w:w="1565"/>
        <w:gridCol w:w="3055"/>
        <w:tblGridChange w:id="0">
          <w:tblGrid>
            <w:gridCol w:w="1525"/>
            <w:gridCol w:w="1998"/>
            <w:gridCol w:w="1436"/>
            <w:gridCol w:w="3371"/>
            <w:gridCol w:w="1565"/>
            <w:gridCol w:w="3055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Disease Name</w:t>
            </w:r>
          </w:p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Autosomal Dominant, Autosomal Recessive, chromosomal aneuploidy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 sex linked?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Genotype of an individual with the disease.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How does the disease affect the body?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Which race/ area of people does it affect most?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Drawing of something pertaining to the disease.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Reminder: pedigree shows generational. Karyotype shows genetic information.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Huntington’s Disease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Cystic Fibrosis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Tay Sachs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Phenylketonuria (PKU)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Sickle Cell Anemia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Disease Name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Autosomal Dominant, Autosomal Recessive, chromosomal aneuploidy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 sex linked?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Genotype of an individual with the disease.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How does the disease affect the body?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Which race/ area of people does it affect most?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Drawing of something pertaining to the disease.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Hemophilia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Down’s Syndrome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Turner’s Syndrome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Kleinfelter’s Syndrome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contextualSpacing w:val="0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rFonts w:ascii="Arial Black" w:cs="Arial Black" w:eastAsia="Arial Black" w:hAnsi="Arial Black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81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sz w:val="32"/>
        <w:szCs w:val="32"/>
        <w:rtl w:val="0"/>
      </w:rPr>
      <w:t xml:space="preserve">https://www.genome.gov/25020037/learning-about-phenylketonuria/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